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CE6" w:rsidRPr="00552CE6" w:rsidRDefault="00552CE6" w:rsidP="00552CE6">
      <w:pPr>
        <w:spacing w:before="0" w:after="0"/>
        <w:ind w:firstLine="0"/>
        <w:rPr>
          <w:b/>
          <w:szCs w:val="24"/>
          <w:lang w:val="en-US"/>
        </w:rPr>
      </w:pPr>
      <w:bookmarkStart w:id="0" w:name="_GoBack"/>
      <w:bookmarkEnd w:id="0"/>
      <w:r w:rsidRPr="00552CE6">
        <w:rPr>
          <w:b/>
          <w:szCs w:val="24"/>
          <w:lang w:val="en-US"/>
        </w:rPr>
        <w:t>Supplementary - Figure captions</w:t>
      </w:r>
    </w:p>
    <w:p w:rsidR="00552CE6" w:rsidRDefault="00552CE6" w:rsidP="00552CE6">
      <w:pPr>
        <w:spacing w:before="0" w:after="0"/>
        <w:ind w:firstLine="0"/>
        <w:rPr>
          <w:szCs w:val="24"/>
          <w:lang w:val="en-US"/>
        </w:rPr>
      </w:pPr>
    </w:p>
    <w:p w:rsidR="00552CE6" w:rsidRPr="0081613B" w:rsidRDefault="00552CE6" w:rsidP="00B97416">
      <w:pPr>
        <w:spacing w:before="0" w:after="0"/>
        <w:ind w:firstLine="0"/>
        <w:rPr>
          <w:lang w:val="en-US" w:eastAsia="es-AR"/>
        </w:rPr>
      </w:pPr>
      <w:r w:rsidRPr="00A71D49">
        <w:rPr>
          <w:szCs w:val="24"/>
          <w:lang w:val="en-US"/>
        </w:rPr>
        <w:t xml:space="preserve">Figure </w:t>
      </w:r>
      <w:r>
        <w:rPr>
          <w:szCs w:val="24"/>
          <w:lang w:val="en-US"/>
        </w:rPr>
        <w:t>Suppl. 1</w:t>
      </w:r>
      <w:r w:rsidRPr="00A71D49">
        <w:rPr>
          <w:szCs w:val="24"/>
          <w:lang w:val="en-US"/>
        </w:rPr>
        <w:t xml:space="preserve">. </w:t>
      </w:r>
      <w:r w:rsidRPr="00A71D49">
        <w:rPr>
          <w:lang w:val="en-US"/>
        </w:rPr>
        <w:t xml:space="preserve">Principal components analysis (PCA) shows the association between physicochemical parameters, removal percentages, biogas production, and treatments used in BMP test. </w:t>
      </w:r>
      <w:r w:rsidRPr="00A71D49">
        <w:rPr>
          <w:szCs w:val="24"/>
          <w:lang w:val="en-US"/>
        </w:rPr>
        <w:t>T1: substrate/inoculum ratio of 0.36 g COD/g VSS, T2: substrate/inoculum ratio of 0.62 g COD/g VSS. A, B and C represent the replicates from each treatment.</w:t>
      </w:r>
    </w:p>
    <w:p w:rsidR="00A8514A" w:rsidRDefault="00A8514A"/>
    <w:sectPr w:rsidR="00A851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E6"/>
    <w:rsid w:val="000E4669"/>
    <w:rsid w:val="0047359C"/>
    <w:rsid w:val="00552CE6"/>
    <w:rsid w:val="00A8514A"/>
    <w:rsid w:val="00B97416"/>
    <w:rsid w:val="00D5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67D08-7862-4F7E-B1D8-045B298E0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CE6"/>
    <w:pPr>
      <w:spacing w:before="240" w:after="240" w:line="48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Jonathan Young</dc:creator>
  <cp:keywords/>
  <dc:description/>
  <cp:lastModifiedBy>Brian Jonathan Young</cp:lastModifiedBy>
  <cp:revision>1</cp:revision>
  <dcterms:created xsi:type="dcterms:W3CDTF">2021-12-07T19:43:00Z</dcterms:created>
  <dcterms:modified xsi:type="dcterms:W3CDTF">2023-01-03T16:52:00Z</dcterms:modified>
</cp:coreProperties>
</file>